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62" w:rsidRPr="0098690B" w:rsidRDefault="001F3962" w:rsidP="001F3962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</w:rPr>
      </w:pPr>
      <w:bookmarkStart w:id="0" w:name="_Toc522611480"/>
      <w:r w:rsidRPr="0098690B">
        <w:rPr>
          <w:rFonts w:ascii="GHEA Grapalat" w:hAnsi="GHEA Grapalat"/>
          <w:b/>
          <w:bCs/>
          <w:color w:val="000000"/>
          <w:sz w:val="22"/>
          <w:szCs w:val="22"/>
        </w:rPr>
        <w:t>ПРИЛОЖЕНИЕ 5</w:t>
      </w:r>
      <w:bookmarkEnd w:id="0"/>
    </w:p>
    <w:p w:rsidR="00191DBA" w:rsidRPr="00B3701C" w:rsidRDefault="00191DBA" w:rsidP="001F3962">
      <w:pPr>
        <w:tabs>
          <w:tab w:val="left" w:pos="450"/>
          <w:tab w:val="left" w:pos="4140"/>
        </w:tabs>
        <w:jc w:val="right"/>
        <w:rPr>
          <w:rFonts w:ascii="Arial" w:hAnsi="Arial" w:cs="Arial"/>
          <w:b/>
          <w:sz w:val="22"/>
          <w:szCs w:val="22"/>
        </w:rPr>
      </w:pPr>
    </w:p>
    <w:p w:rsidR="00191DBA" w:rsidRPr="00B3701C" w:rsidRDefault="00191DBA" w:rsidP="002C06E8">
      <w:pPr>
        <w:suppressLineNumbers/>
        <w:tabs>
          <w:tab w:val="left" w:pos="45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tabs>
          <w:tab w:val="left" w:pos="450"/>
        </w:tabs>
        <w:rPr>
          <w:rFonts w:ascii="Arial" w:hAnsi="Arial" w:cs="Arial"/>
          <w:b/>
          <w:bCs/>
          <w:sz w:val="22"/>
          <w:szCs w:val="22"/>
        </w:rPr>
      </w:pP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b/>
          <w:bCs/>
          <w:sz w:val="22"/>
          <w:szCs w:val="22"/>
        </w:rPr>
        <w:t>ТРЕБОВАНИЯ К ОЦЕНОЧНЫМ РАБОТАМ НЕЗАВИСИМОГО ОЦЕНЩИКА</w:t>
      </w: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EB428D">
        <w:rPr>
          <w:rFonts w:ascii="Arial" w:hAnsi="Arial" w:cs="Arial"/>
          <w:b/>
          <w:bCs/>
          <w:sz w:val="22"/>
          <w:szCs w:val="22"/>
        </w:rPr>
        <w:t xml:space="preserve">Глава </w:t>
      </w:r>
      <w:r w:rsidRPr="00B3701C">
        <w:rPr>
          <w:rFonts w:ascii="Arial" w:hAnsi="Arial" w:cs="Arial"/>
          <w:b/>
          <w:bCs/>
          <w:sz w:val="22"/>
          <w:szCs w:val="22"/>
          <w:lang w:val="en-US"/>
        </w:rPr>
        <w:t>1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3701C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Настоящие требования разработаны с </w:t>
      </w:r>
      <w:r w:rsidR="00EB428D" w:rsidRPr="00B3701C">
        <w:rPr>
          <w:rFonts w:ascii="Arial" w:hAnsi="Arial" w:cs="Arial"/>
          <w:sz w:val="22"/>
          <w:szCs w:val="22"/>
        </w:rPr>
        <w:t>учётом</w:t>
      </w:r>
      <w:r w:rsidRPr="00B3701C">
        <w:rPr>
          <w:rFonts w:ascii="Arial" w:hAnsi="Arial" w:cs="Arial"/>
          <w:sz w:val="22"/>
          <w:szCs w:val="22"/>
        </w:rPr>
        <w:t xml:space="preserve"> международных стандартов оценки и стандартов оценки недвижимого имущества республики РА, и определяют требования к проведению оценки недвижимости и движимого оборудования (далее также имущества, актива), являющегося предметом залога или планируемого к передаче в качестве обеспечения в виде залога, по предполагаемым или существующим денежным обязательствам (далее - целей залога).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Настоящие требования являются обязательными к применению при оценке для целей залога, включая оценку для целей ипотечного кредитования. Настоящие требования развивают, дополняют и конкретизируют при оценке для целей залога требования и процедуры, установленные стандартом оценки недвижимости.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Содержание оценочного акта должно соответствовать требованиям закона РА “О деятельности по оценке недвижимого имущество”. Основным требованиям к форме изложения оценочного акта является его предоставление в таком виде, чтобы любой пользователь на основе, изложенной в оценочном акте информации мог самостоятельно воспроизвести весь процесс определения стоимости оцениваемого объекта. Необходимым условием для этого является удовлетворение оценочного акта критериям качественности, удобства изложения, унифицированной предоставления </w:t>
      </w:r>
      <w:r w:rsidR="00342908" w:rsidRPr="00B3701C">
        <w:rPr>
          <w:rFonts w:ascii="Arial" w:hAnsi="Arial" w:cs="Arial"/>
          <w:sz w:val="22"/>
          <w:szCs w:val="22"/>
        </w:rPr>
        <w:t>расчётов</w:t>
      </w:r>
      <w:r w:rsidRPr="00B3701C">
        <w:rPr>
          <w:rFonts w:ascii="Arial" w:hAnsi="Arial" w:cs="Arial"/>
          <w:sz w:val="22"/>
          <w:szCs w:val="22"/>
        </w:rPr>
        <w:t>, лаконичности и достаточности представляемой в оценочном акте информации.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3701C">
        <w:rPr>
          <w:rFonts w:ascii="Arial" w:hAnsi="Arial" w:cs="Arial"/>
          <w:b/>
          <w:sz w:val="22"/>
          <w:szCs w:val="22"/>
        </w:rPr>
        <w:t>Глава</w:t>
      </w:r>
      <w:r w:rsidRPr="00B3701C">
        <w:rPr>
          <w:rFonts w:ascii="Arial" w:hAnsi="Arial" w:cs="Arial"/>
          <w:b/>
          <w:sz w:val="22"/>
          <w:szCs w:val="22"/>
          <w:lang w:val="en-US"/>
        </w:rPr>
        <w:t xml:space="preserve"> 2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Общие требования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Допускается заключение договора на проведение оценки с множественностью лиц, в том числе, сторонами которого являются оценщик, собственник объекта оценки, лицо, заинтересованное в приобретении объекта оценки на </w:t>
      </w:r>
      <w:r w:rsidR="00EB428D" w:rsidRPr="00B3701C">
        <w:rPr>
          <w:rFonts w:ascii="Arial" w:hAnsi="Arial" w:cs="Arial"/>
          <w:sz w:val="22"/>
          <w:szCs w:val="22"/>
        </w:rPr>
        <w:t>заёмные</w:t>
      </w:r>
      <w:r w:rsidRPr="00B3701C">
        <w:rPr>
          <w:rFonts w:ascii="Arial" w:hAnsi="Arial" w:cs="Arial"/>
          <w:sz w:val="22"/>
          <w:szCs w:val="22"/>
        </w:rPr>
        <w:t xml:space="preserve"> средства и залогодержатель (далее - залогодержатель). Заказчиком оценки может выступать собственник объекта оценки либо лицо, им уполномоченное (далее – собственник, заказчик), а также предполагаемый или настоящий залогодержатель.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оценке для целей залога в Банке” оценщик должен проинформировать заказчика о наличии специальных требований, дополнительных по отношению к стандарту оценки недвижимости РА и не противоречащих ему, со стороны предполагаемого или настоящего залогодержателя объекта оценки. Оценщик обязан учесть специальные требования потенциального залогодержателя при проведении оценки в целях залога.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Факт не предоставления заказчиком материалов и информации, предусмотренных заданием на оценку может являться основанием для расторжения договора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 процессе проведения оценки оценщик может предоставлять рабочие материалы для предварительного изучения и обсуждения сторонами договора в формате, предусмотренном условиями договора.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Для целей залога в Банке, при определении стоимости определяется рыночная стоимость и ликвидационная стоимости.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оценке имущества, входящего в состав комплексов имущества необходимо проведение анализа возможности независимого функционирования и реализации имущества отдельно от иных активов, входящих в состав комплекса имущества.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При оценке имущества, являющегося частью комплекса имущества исходя из допущения, что реализация данного имущества будет проводиться в составе комплекса имущества, стоимость объекта оценки определяется как часть в стоимости комплекса </w:t>
      </w:r>
      <w:r w:rsidRPr="00B3701C">
        <w:rPr>
          <w:rFonts w:ascii="Arial" w:hAnsi="Arial" w:cs="Arial"/>
          <w:sz w:val="22"/>
          <w:szCs w:val="22"/>
        </w:rPr>
        <w:lastRenderedPageBreak/>
        <w:t>имущества, приходящаяся на оцениваемое имущество при реализации всего комплекса имущества по рыночной стоимости. Данное допущение указывается в задании на оценку. Стоимость специализированного имущества (имущество, которое, в силу уникального назначения, состава, размера или конструкции, местоположения или иных факторов, не может быть реализовано отдельно от комплекса, в составе которого оно используется) определяется как часть в стоимости комплекса имущества.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Оценочный акт должен содержать стоимость (стоимости) объекта оценки в соответствии с видами стоимости, установленными настоящими требованиями.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отдельном разделе оценочного акта приводятся выводы о ликвидности объекта оценки и иные </w:t>
      </w:r>
      <w:r w:rsidR="00EB428D" w:rsidRPr="00B3701C">
        <w:rPr>
          <w:rFonts w:ascii="Arial" w:hAnsi="Arial" w:cs="Arial"/>
          <w:sz w:val="22"/>
          <w:szCs w:val="22"/>
        </w:rPr>
        <w:t>расчётные</w:t>
      </w:r>
      <w:r w:rsidRPr="00B3701C">
        <w:rPr>
          <w:rFonts w:ascii="Arial" w:hAnsi="Arial" w:cs="Arial"/>
          <w:sz w:val="22"/>
          <w:szCs w:val="22"/>
        </w:rPr>
        <w:t xml:space="preserve"> величины, выводы и рекомендации, подготовленные оценщиком в соответствии с заданием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Выводы о ликвидности объекта оценки в обязательном порядке присутствуют в оценочном акте, но не рассматриваются как результат оценки.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определении ликвидности объекта оценки, оценщик должен обосновать сделанные выводы приведением результатов анализа существенных факторов, влияющих на ликвидность объекта и сроки его рыночной экспозиции.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b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Глава 3</w:t>
      </w: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Задание на оценку и необходимые мероприятия при оценке</w:t>
      </w: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Задание на оценку должно содержать следующую информацию: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Объект оценки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Состав объекта оценки с указанием сведений, достаточных для идентификации каждой из его частей (при наличии),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Характеристики объекта оценки и его оцениваемых частей или ссылки на доступные для оценщика документы, содержащие такие характеристики,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Права, учитываемые при оценке объекта оценки, ограничения (обременения) этих прав, в том числе в отношении каждой из частей объекта оценки,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Цель оценки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Предполагаемое использование результатов оценки и связанные с этим ограничения,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Вид стоимости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Дата оценки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Срок проведения оценки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Допущения и ограничения, на которых должна основываться оценка,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Особенности проведения осмотра объекта оценки либо основания, объективно препятствующие проведению осмотра объекта, если таковые существуют,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Порядок и сроки предоставления заказчиком необходимых для проведения оценки материалов и информации,</w:t>
      </w:r>
    </w:p>
    <w:p w:rsidR="00191DBA" w:rsidRPr="00B3701C" w:rsidRDefault="00191DBA" w:rsidP="002C06E8">
      <w:pPr>
        <w:numPr>
          <w:ilvl w:val="1"/>
          <w:numId w:val="2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оценки). Если на этапе подготовки задания на оценку любой из сторон договора определена (выявлена) необходимость привлечения отраслевых экспертов, то такое условие должно быть включено в задание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Оценщик должен лично осмотреть имущество, которое оценивается, сфотографировать его. В процессе осмотра Оценщик выполняет следующие требования:</w:t>
      </w:r>
    </w:p>
    <w:p w:rsidR="00191DBA" w:rsidRPr="00B3701C" w:rsidRDefault="00191DBA" w:rsidP="002C06E8">
      <w:pPr>
        <w:numPr>
          <w:ilvl w:val="0"/>
          <w:numId w:val="3"/>
        </w:numPr>
        <w:tabs>
          <w:tab w:val="clear" w:pos="108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Осмотр должен быть </w:t>
      </w:r>
      <w:r w:rsidR="00EB428D" w:rsidRPr="00B3701C">
        <w:rPr>
          <w:rFonts w:ascii="Arial" w:hAnsi="Arial" w:cs="Arial"/>
          <w:sz w:val="22"/>
          <w:szCs w:val="22"/>
        </w:rPr>
        <w:t>осуществлён</w:t>
      </w:r>
      <w:r w:rsidRPr="00B3701C">
        <w:rPr>
          <w:rFonts w:ascii="Arial" w:hAnsi="Arial" w:cs="Arial"/>
          <w:sz w:val="22"/>
          <w:szCs w:val="22"/>
        </w:rPr>
        <w:t xml:space="preserve"> лицом, участвующим в проведении оценки (подписывающим оценочный акт),</w:t>
      </w:r>
    </w:p>
    <w:p w:rsidR="00191DBA" w:rsidRPr="00B3701C" w:rsidRDefault="00191DBA" w:rsidP="002C06E8">
      <w:pPr>
        <w:numPr>
          <w:ilvl w:val="0"/>
          <w:numId w:val="3"/>
        </w:numPr>
        <w:tabs>
          <w:tab w:val="clear" w:pos="108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Лицо, поводящее осмотр должно осуществить все необходимы действия для идентификации объекта оценки (фотографирование адресных табличек, при оценке недвижимости, серийных номеров в случае залога оборудования, VIN кода при залоге транспорта и т.д.), </w:t>
      </w:r>
    </w:p>
    <w:p w:rsidR="00191DBA" w:rsidRPr="00B3701C" w:rsidRDefault="00191DBA" w:rsidP="002C06E8">
      <w:pPr>
        <w:numPr>
          <w:ilvl w:val="0"/>
          <w:numId w:val="3"/>
        </w:numPr>
        <w:tabs>
          <w:tab w:val="clear" w:pos="108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Лицо, проводящее осмотр, фотографирует весь объект, отдельные части/фрагменты интерьера, помещения, комнаты и др., а также все основные виды повреждений и дефектов объекта оценки,</w:t>
      </w:r>
    </w:p>
    <w:p w:rsidR="00191DBA" w:rsidRPr="00B3701C" w:rsidRDefault="00191DBA" w:rsidP="002C06E8">
      <w:pPr>
        <w:numPr>
          <w:ilvl w:val="0"/>
          <w:numId w:val="3"/>
        </w:numPr>
        <w:tabs>
          <w:tab w:val="clear" w:pos="108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Если объектом оценки является движимое имущество, то оценщик обязан подтвердить его работоспособность.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lastRenderedPageBreak/>
        <w:t xml:space="preserve">При построении макроэкономических прогнозов они должны быть обоснованы оценщиком.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рамках применения каждого подхода оценщик должен привести в оценочном акте описание процедуры соответствующего согласования.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согласовании существенно отличающихся результатов оценки, полученных различными подходами или методами необходимо провести анализ и установить причину расхождений. Существенным признается такое отличие, при котором результат, полученный при применении одного подхода (метода), находится вне границ интервала результата, полученного при применении другого подхода. Взвешивание результатов в таком случае не допускается. В оценочном акте приводится результат, признаваемый оценщиком как итоговый. Результаты, полученные иными подходами вместе с выводами о причине расхождений также должны присутствовать в оценочном акте.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Стоимость Объекта оценки определяется с </w:t>
      </w:r>
      <w:r w:rsidR="00EB428D" w:rsidRPr="00B3701C">
        <w:rPr>
          <w:rFonts w:ascii="Arial" w:hAnsi="Arial" w:cs="Arial"/>
          <w:sz w:val="22"/>
          <w:szCs w:val="22"/>
        </w:rPr>
        <w:t>учётом</w:t>
      </w:r>
      <w:r w:rsidRPr="00B3701C">
        <w:rPr>
          <w:rFonts w:ascii="Arial" w:hAnsi="Arial" w:cs="Arial"/>
          <w:sz w:val="22"/>
          <w:szCs w:val="22"/>
        </w:rPr>
        <w:t xml:space="preserve"> особенностей его правового титула, наличия возможных ограничений и действующих/текущих обременений, наличие которых (в </w:t>
      </w:r>
      <w:proofErr w:type="spellStart"/>
      <w:r w:rsidRPr="00B3701C">
        <w:rPr>
          <w:rFonts w:ascii="Arial" w:hAnsi="Arial" w:cs="Arial"/>
          <w:sz w:val="22"/>
          <w:szCs w:val="22"/>
        </w:rPr>
        <w:t>т.ч</w:t>
      </w:r>
      <w:proofErr w:type="spellEnd"/>
      <w:r w:rsidRPr="00B3701C">
        <w:rPr>
          <w:rFonts w:ascii="Arial" w:hAnsi="Arial" w:cs="Arial"/>
          <w:sz w:val="22"/>
          <w:szCs w:val="22"/>
        </w:rPr>
        <w:t>. невозможность их устранения Собственником недвижимого имущества в одностороннем порядке) в случае отчуждения Объекта оценки, как предмета залога, может повлиять на вероятную стоимость его отчуждения. Как правило, таковыми обременениями являются: долгосрочные или бессрочные обременения недвижимого имущества задолженности перед Государственным Комитетом Кадастра, договора аренды, ренты, иные ограничения по его пользованию, распоряжению и владению.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  <w:tab w:val="left" w:pos="189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Глава 4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3701C">
        <w:rPr>
          <w:rFonts w:ascii="Arial" w:hAnsi="Arial" w:cs="Arial"/>
          <w:b/>
          <w:sz w:val="22"/>
          <w:szCs w:val="22"/>
        </w:rPr>
        <w:t>Допущения и ограничения при оценке для целей залога</w:t>
      </w:r>
    </w:p>
    <w:p w:rsidR="00191DBA" w:rsidRPr="00B3701C" w:rsidRDefault="00191DBA" w:rsidP="002C06E8">
      <w:pPr>
        <w:tabs>
          <w:tab w:val="left" w:pos="450"/>
        </w:tabs>
        <w:jc w:val="center"/>
        <w:rPr>
          <w:rFonts w:ascii="Arial" w:hAnsi="Arial" w:cs="Arial"/>
          <w:b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Допущения и ограничения, используемые при проведении оценки должны соответствовать настоящим требованиям.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Возможно установление дополнительных допущений и ограничений, связанных с предполагаемым использованием результатов оценки </w:t>
      </w:r>
      <w:r w:rsidRPr="00B3701C">
        <w:rPr>
          <w:rFonts w:ascii="Arial" w:hAnsi="Arial" w:cs="Arial"/>
          <w:sz w:val="22"/>
          <w:szCs w:val="22"/>
        </w:rPr>
        <w:br/>
        <w:t>и спецификой объекта оценки. Такие допущения должны быть дополнительно согласованы с Банком. Все допущения и ограничения должны отражаться оценщиком в оценочном акте.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Использование прогнозных данных заказчика или менеджмента собственника без проверки их осуществимости и соответствия независимым </w:t>
      </w:r>
      <w:r w:rsidRPr="00B3701C">
        <w:rPr>
          <w:rFonts w:ascii="Arial" w:hAnsi="Arial" w:cs="Arial"/>
          <w:sz w:val="22"/>
          <w:szCs w:val="22"/>
        </w:rPr>
        <w:br/>
        <w:t>от заказчика рыночным данным не допускается.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Все преимущества, существующие у собственника в отношении объекта оценки и условий владения, и пользования объектом, отличающиеся </w:t>
      </w:r>
      <w:r w:rsidRPr="00B3701C">
        <w:rPr>
          <w:rFonts w:ascii="Arial" w:hAnsi="Arial" w:cs="Arial"/>
          <w:sz w:val="22"/>
          <w:szCs w:val="22"/>
        </w:rPr>
        <w:br/>
        <w:t xml:space="preserve">от рыночных условий, не могут учитываться при оценке для целей залога, </w:t>
      </w:r>
      <w:r w:rsidRPr="00B3701C">
        <w:rPr>
          <w:rFonts w:ascii="Arial" w:hAnsi="Arial" w:cs="Arial"/>
          <w:sz w:val="22"/>
          <w:szCs w:val="22"/>
        </w:rPr>
        <w:br/>
        <w:t>если они не сохранятся бесспорно при переходе права собственности на объект оценки иному лицу.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Все обременения, сервитуты и за балансовые обязательства, оказывающие влияние на стоимость объекта оценки, должны учитываться при проведении оценки. Требования к </w:t>
      </w:r>
      <w:r w:rsidR="00EB428D" w:rsidRPr="00B3701C">
        <w:rPr>
          <w:rFonts w:ascii="Arial" w:hAnsi="Arial" w:cs="Arial"/>
          <w:sz w:val="22"/>
          <w:szCs w:val="22"/>
        </w:rPr>
        <w:t>учёту</w:t>
      </w:r>
      <w:r w:rsidRPr="00B3701C">
        <w:rPr>
          <w:rFonts w:ascii="Arial" w:hAnsi="Arial" w:cs="Arial"/>
          <w:sz w:val="22"/>
          <w:szCs w:val="22"/>
        </w:rPr>
        <w:t xml:space="preserve"> влияния данных факторов </w:t>
      </w:r>
      <w:r w:rsidRPr="00B3701C">
        <w:rPr>
          <w:rFonts w:ascii="Arial" w:hAnsi="Arial" w:cs="Arial"/>
          <w:sz w:val="22"/>
          <w:szCs w:val="22"/>
        </w:rPr>
        <w:br/>
        <w:t xml:space="preserve">на стоимость объекта оценки указываются в договоре на оценку.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 случае выявления обременений до момента подписания договора на оценку, оценщик обязан проинформировать об этом стороны собственника и Банк и указать факт наличия обременений в договоре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случае выявления обременений в процессе оценки, оценщик обязан указать факт наличия обременений в оценочном акте в безусловном порядке и учесть их в </w:t>
      </w:r>
      <w:r w:rsidR="00EB428D" w:rsidRPr="00B3701C">
        <w:rPr>
          <w:rFonts w:ascii="Arial" w:hAnsi="Arial" w:cs="Arial"/>
          <w:sz w:val="22"/>
          <w:szCs w:val="22"/>
        </w:rPr>
        <w:t>расчётах</w:t>
      </w:r>
      <w:r w:rsidRPr="00B3701C">
        <w:rPr>
          <w:rFonts w:ascii="Arial" w:hAnsi="Arial" w:cs="Arial"/>
          <w:sz w:val="22"/>
          <w:szCs w:val="22"/>
        </w:rPr>
        <w:t>, в случае если иное не указано в задании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Проведение оценки объекта в предположении его использования не по текущему назначению подлежит обязательному согласованию с Банком и включается в договор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При оценке объекта в предположении изменения его текущего использования все затраты, необходимые для реализации альтернативного использования, подлежат обязательному </w:t>
      </w:r>
      <w:r w:rsidR="00EB428D" w:rsidRPr="00B3701C">
        <w:rPr>
          <w:rFonts w:ascii="Arial" w:hAnsi="Arial" w:cs="Arial"/>
          <w:sz w:val="22"/>
          <w:szCs w:val="22"/>
        </w:rPr>
        <w:t>учёту</w:t>
      </w:r>
      <w:r w:rsidRPr="00B3701C">
        <w:rPr>
          <w:rFonts w:ascii="Arial" w:hAnsi="Arial" w:cs="Arial"/>
          <w:sz w:val="22"/>
          <w:szCs w:val="22"/>
        </w:rPr>
        <w:t xml:space="preserve">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lastRenderedPageBreak/>
        <w:t>Количество объектов - аналогов при проведении оценки должно быть не менее 3 (</w:t>
      </w:r>
      <w:r w:rsidR="00EB428D" w:rsidRPr="00B3701C">
        <w:rPr>
          <w:rFonts w:ascii="Arial" w:hAnsi="Arial" w:cs="Arial"/>
          <w:sz w:val="22"/>
          <w:szCs w:val="22"/>
        </w:rPr>
        <w:t>трёх</w:t>
      </w:r>
      <w:r w:rsidRPr="00B3701C">
        <w:rPr>
          <w:rFonts w:ascii="Arial" w:hAnsi="Arial" w:cs="Arial"/>
          <w:sz w:val="22"/>
          <w:szCs w:val="22"/>
        </w:rPr>
        <w:t xml:space="preserve">) (в оценочном акте должны быть предоставлены </w:t>
      </w:r>
      <w:proofErr w:type="spellStart"/>
      <w:r w:rsidRPr="00B3701C">
        <w:rPr>
          <w:rFonts w:ascii="Arial" w:hAnsi="Arial" w:cs="Arial"/>
          <w:sz w:val="22"/>
          <w:szCs w:val="22"/>
        </w:rPr>
        <w:t>интернетные</w:t>
      </w:r>
      <w:proofErr w:type="spellEnd"/>
      <w:r w:rsidRPr="00B3701C">
        <w:rPr>
          <w:rFonts w:ascii="Arial" w:hAnsi="Arial" w:cs="Arial"/>
          <w:sz w:val="22"/>
          <w:szCs w:val="22"/>
        </w:rPr>
        <w:t xml:space="preserve"> ссылки на объекты аналоги или иные контактные данные для проверки актуальности использованных аналогов).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Используемые аналоги должны быть актуальными на дату оценки,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использовании затратного подхода во время оценки недвижимости, пользоваться общедоступным справочником “</w:t>
      </w:r>
      <w:r w:rsidR="00EB428D" w:rsidRPr="00B3701C">
        <w:rPr>
          <w:rFonts w:ascii="Arial" w:hAnsi="Arial" w:cs="Arial"/>
          <w:sz w:val="22"/>
          <w:szCs w:val="22"/>
        </w:rPr>
        <w:t>Укрупнённых</w:t>
      </w:r>
      <w:r w:rsidRPr="00B3701C">
        <w:rPr>
          <w:rFonts w:ascii="Arial" w:hAnsi="Arial" w:cs="Arial"/>
          <w:sz w:val="22"/>
          <w:szCs w:val="22"/>
        </w:rPr>
        <w:t xml:space="preserve"> показателей строительных работ” (</w:t>
      </w:r>
      <w:r w:rsidRPr="00B3701C">
        <w:rPr>
          <w:rFonts w:ascii="Sylfaen" w:hAnsi="Sylfaen" w:cs="Sylfaen"/>
          <w:sz w:val="22"/>
          <w:szCs w:val="22"/>
        </w:rPr>
        <w:t>ՇԱԽՑ</w:t>
      </w:r>
      <w:r w:rsidRPr="00B3701C">
        <w:rPr>
          <w:rFonts w:ascii="Arial" w:hAnsi="Arial" w:cs="Arial"/>
          <w:sz w:val="22"/>
          <w:szCs w:val="22"/>
        </w:rPr>
        <w:t xml:space="preserve">) и другими общедоступными источниками.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наличие актуальной проектно-сметной документации, на основании которой было осуществлено строительство недвижимости, возможно основываться на данных проектно-сметной документации.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рамках оценочного акта должна быть рассчитана так же стоимость без </w:t>
      </w:r>
      <w:r w:rsidR="00EB428D" w:rsidRPr="00B3701C">
        <w:rPr>
          <w:rFonts w:ascii="Arial" w:hAnsi="Arial" w:cs="Arial"/>
          <w:sz w:val="22"/>
          <w:szCs w:val="22"/>
        </w:rPr>
        <w:t>учёта</w:t>
      </w:r>
      <w:r w:rsidRPr="00B3701C">
        <w:rPr>
          <w:rFonts w:ascii="Arial" w:hAnsi="Arial" w:cs="Arial"/>
          <w:sz w:val="22"/>
          <w:szCs w:val="22"/>
        </w:rPr>
        <w:t xml:space="preserve"> Налога на добавленную стоимость (в случае если собственник имущества является юридическое лицо).</w:t>
      </w:r>
    </w:p>
    <w:p w:rsidR="00191DBA" w:rsidRPr="00B3701C" w:rsidRDefault="00EB428D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Расчёт</w:t>
      </w:r>
      <w:r w:rsidR="00191DBA" w:rsidRPr="00B3701C">
        <w:rPr>
          <w:rFonts w:ascii="Arial" w:hAnsi="Arial" w:cs="Arial"/>
          <w:sz w:val="22"/>
          <w:szCs w:val="22"/>
        </w:rPr>
        <w:t xml:space="preserve"> стоимости без </w:t>
      </w:r>
      <w:r w:rsidRPr="00B3701C">
        <w:rPr>
          <w:rFonts w:ascii="Arial" w:hAnsi="Arial" w:cs="Arial"/>
          <w:sz w:val="22"/>
          <w:szCs w:val="22"/>
        </w:rPr>
        <w:t>учёта</w:t>
      </w:r>
      <w:r w:rsidR="00191DBA" w:rsidRPr="00B3701C">
        <w:rPr>
          <w:rFonts w:ascii="Arial" w:hAnsi="Arial" w:cs="Arial"/>
          <w:sz w:val="22"/>
          <w:szCs w:val="22"/>
        </w:rPr>
        <w:t xml:space="preserve"> Налога на добавленную стоимость может быть </w:t>
      </w:r>
      <w:r w:rsidRPr="00B3701C">
        <w:rPr>
          <w:rFonts w:ascii="Arial" w:hAnsi="Arial" w:cs="Arial"/>
          <w:sz w:val="22"/>
          <w:szCs w:val="22"/>
        </w:rPr>
        <w:t>осуществлён</w:t>
      </w:r>
      <w:r w:rsidR="00191DBA" w:rsidRPr="00B3701C">
        <w:rPr>
          <w:rFonts w:ascii="Arial" w:hAnsi="Arial" w:cs="Arial"/>
          <w:sz w:val="22"/>
          <w:szCs w:val="22"/>
        </w:rPr>
        <w:t xml:space="preserve"> двумя способами.</w:t>
      </w:r>
    </w:p>
    <w:p w:rsidR="00191DBA" w:rsidRPr="00B3701C" w:rsidRDefault="00191DBA" w:rsidP="002C06E8">
      <w:pPr>
        <w:numPr>
          <w:ilvl w:val="2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При осуществлении </w:t>
      </w:r>
      <w:r w:rsidR="00EB428D" w:rsidRPr="00B3701C">
        <w:rPr>
          <w:rFonts w:ascii="Arial" w:hAnsi="Arial" w:cs="Arial"/>
          <w:sz w:val="22"/>
          <w:szCs w:val="22"/>
        </w:rPr>
        <w:t>расчётов</w:t>
      </w:r>
      <w:r w:rsidRPr="00B3701C">
        <w:rPr>
          <w:rFonts w:ascii="Arial" w:hAnsi="Arial" w:cs="Arial"/>
          <w:sz w:val="22"/>
          <w:szCs w:val="22"/>
        </w:rPr>
        <w:t xml:space="preserve"> использовать данные без </w:t>
      </w:r>
      <w:r w:rsidR="00EB428D" w:rsidRPr="00B3701C">
        <w:rPr>
          <w:rFonts w:ascii="Arial" w:hAnsi="Arial" w:cs="Arial"/>
          <w:sz w:val="22"/>
          <w:szCs w:val="22"/>
        </w:rPr>
        <w:t>учёта</w:t>
      </w:r>
      <w:r w:rsidRPr="00B3701C">
        <w:rPr>
          <w:rFonts w:ascii="Arial" w:hAnsi="Arial" w:cs="Arial"/>
          <w:sz w:val="22"/>
          <w:szCs w:val="22"/>
        </w:rPr>
        <w:t xml:space="preserve"> Налога на добавленную стоимость</w:t>
      </w:r>
    </w:p>
    <w:p w:rsidR="00191DBA" w:rsidRPr="00B3701C" w:rsidRDefault="00191DBA" w:rsidP="002C06E8">
      <w:pPr>
        <w:numPr>
          <w:ilvl w:val="2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Вычитая НДС из конечного результата.</w:t>
      </w:r>
    </w:p>
    <w:p w:rsidR="00191DBA" w:rsidRPr="00B3701C" w:rsidRDefault="00191DBA" w:rsidP="002C06E8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3701C">
        <w:rPr>
          <w:rFonts w:ascii="Arial" w:hAnsi="Arial" w:cs="Arial"/>
          <w:b/>
          <w:bCs/>
          <w:sz w:val="22"/>
          <w:szCs w:val="22"/>
        </w:rPr>
        <w:t>Глава 5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3701C">
        <w:rPr>
          <w:rFonts w:ascii="Arial" w:hAnsi="Arial" w:cs="Arial"/>
          <w:b/>
          <w:bCs/>
          <w:sz w:val="22"/>
          <w:szCs w:val="22"/>
        </w:rPr>
        <w:t>Требования к структуре оценочного акта</w:t>
      </w:r>
    </w:p>
    <w:p w:rsidR="00191DBA" w:rsidRPr="00B3701C" w:rsidRDefault="00191DBA" w:rsidP="002C06E8">
      <w:pPr>
        <w:pStyle w:val="ListParagraph"/>
        <w:tabs>
          <w:tab w:val="left" w:pos="450"/>
        </w:tabs>
        <w:ind w:left="0"/>
        <w:contextualSpacing/>
        <w:jc w:val="center"/>
        <w:rPr>
          <w:rFonts w:ascii="Arial" w:hAnsi="Arial" w:cs="Arial"/>
          <w:sz w:val="22"/>
          <w:szCs w:val="22"/>
        </w:rPr>
      </w:pP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>Оценочный акт должен состоять из семи логических частей: “Общие сведения”, “Описание Объекта оценки”, “Оценка имущества”, “Заключение об итоговой величине рыночной стоимости Объекта оценки”, ‘</w:t>
      </w:r>
      <w:r w:rsidR="00EB428D" w:rsidRPr="00B3701C">
        <w:rPr>
          <w:rFonts w:ascii="Arial" w:hAnsi="Arial" w:cs="Arial"/>
          <w:bCs/>
          <w:sz w:val="22"/>
          <w:szCs w:val="22"/>
        </w:rPr>
        <w:t>Расчёт</w:t>
      </w:r>
      <w:r w:rsidRPr="00B3701C">
        <w:rPr>
          <w:rFonts w:ascii="Arial" w:hAnsi="Arial" w:cs="Arial"/>
          <w:bCs/>
          <w:sz w:val="22"/>
          <w:szCs w:val="22"/>
        </w:rPr>
        <w:t xml:space="preserve"> ликвидационной стоимости объекта оценки”, “Перечень используемых материалов”.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>“Общие сведения”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 xml:space="preserve">В данном разделе указываются общие сведения по части оценки 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Номер оценочного акта (порядковый номер </w:t>
      </w:r>
      <w:r w:rsidR="00EB428D" w:rsidRPr="00B3701C">
        <w:rPr>
          <w:rFonts w:ascii="Arial" w:hAnsi="Arial" w:cs="Arial"/>
          <w:sz w:val="22"/>
          <w:szCs w:val="22"/>
        </w:rPr>
        <w:t>отчёта</w:t>
      </w:r>
      <w:r w:rsidRPr="00B3701C">
        <w:rPr>
          <w:rFonts w:ascii="Arial" w:hAnsi="Arial" w:cs="Arial"/>
          <w:sz w:val="22"/>
          <w:szCs w:val="22"/>
        </w:rPr>
        <w:t>)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Краткое описание Объекта оценки (адрес, площадь, состояние, при движимом имуществе дату производства и дату приобретения)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Краткое описание имущественных прав, и основы их появления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Используемые в оценочном акте иностранные валюты и их курсы, установленные ЦБ РА на дату проведения оценки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Наименование Собственника Объекта оценки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Цель и задачи оценки (определение рыночной и ликвидационной стоимости Объекта оценки для целей залога)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Дата Оценки (дата определения стоимости объекта)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Период проведения работ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Дата составления оценочно</w:t>
      </w:r>
      <w:r w:rsidRPr="00EB428D">
        <w:rPr>
          <w:rFonts w:ascii="Arial" w:hAnsi="Arial" w:cs="Arial"/>
          <w:sz w:val="22"/>
          <w:szCs w:val="22"/>
        </w:rPr>
        <w:t>го</w:t>
      </w:r>
      <w:r w:rsidRPr="00B3701C">
        <w:rPr>
          <w:rFonts w:ascii="Arial" w:hAnsi="Arial" w:cs="Arial"/>
          <w:sz w:val="22"/>
          <w:szCs w:val="22"/>
        </w:rPr>
        <w:t xml:space="preserve"> акт</w:t>
      </w:r>
      <w:r w:rsidRPr="00EB428D">
        <w:rPr>
          <w:rFonts w:ascii="Arial" w:hAnsi="Arial" w:cs="Arial"/>
          <w:sz w:val="22"/>
          <w:szCs w:val="22"/>
        </w:rPr>
        <w:t>а</w:t>
      </w:r>
    </w:p>
    <w:p w:rsidR="00191DBA" w:rsidRPr="00B3701C" w:rsidRDefault="00191DBA" w:rsidP="002C06E8">
      <w:pPr>
        <w:numPr>
          <w:ilvl w:val="0"/>
          <w:numId w:val="5"/>
        </w:numPr>
        <w:tabs>
          <w:tab w:val="clear" w:pos="720"/>
          <w:tab w:val="left" w:pos="450"/>
        </w:tabs>
        <w:ind w:left="0" w:firstLine="0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Балансовая стоимость Объекта оценки на последнюю </w:t>
      </w:r>
      <w:r w:rsidR="00EB428D" w:rsidRPr="00B3701C">
        <w:rPr>
          <w:rFonts w:ascii="Arial" w:hAnsi="Arial" w:cs="Arial"/>
          <w:sz w:val="22"/>
          <w:szCs w:val="22"/>
        </w:rPr>
        <w:t>отчётную</w:t>
      </w:r>
      <w:r w:rsidRPr="00B3701C">
        <w:rPr>
          <w:rFonts w:ascii="Arial" w:hAnsi="Arial" w:cs="Arial"/>
          <w:sz w:val="22"/>
          <w:szCs w:val="22"/>
        </w:rPr>
        <w:t xml:space="preserve"> дату (если собственник юридическое лицо)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>“</w:t>
      </w:r>
      <w:r w:rsidRPr="00B3701C">
        <w:rPr>
          <w:rFonts w:ascii="Arial" w:hAnsi="Arial" w:cs="Arial"/>
          <w:sz w:val="22"/>
          <w:szCs w:val="22"/>
        </w:rPr>
        <w:t>Описание Объекта оценки”</w:t>
      </w:r>
      <w:r w:rsidRPr="00B3701C">
        <w:rPr>
          <w:rFonts w:ascii="Arial" w:hAnsi="Arial" w:cs="Arial"/>
          <w:sz w:val="22"/>
          <w:szCs w:val="22"/>
          <w:lang w:val="en-US"/>
        </w:rPr>
        <w:t>:</w:t>
      </w:r>
    </w:p>
    <w:p w:rsidR="00191DBA" w:rsidRPr="00B3701C" w:rsidRDefault="00191DBA" w:rsidP="002C06E8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contextualSpacing/>
        <w:rPr>
          <w:rFonts w:ascii="Arial" w:hAnsi="Arial" w:cs="Arial"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</w:rPr>
        <w:t xml:space="preserve">В данном разделе </w:t>
      </w:r>
      <w:r w:rsidR="00EB428D" w:rsidRPr="00B3701C">
        <w:rPr>
          <w:rFonts w:ascii="Arial" w:hAnsi="Arial" w:cs="Arial"/>
          <w:bCs/>
          <w:sz w:val="22"/>
          <w:szCs w:val="22"/>
        </w:rPr>
        <w:t>даётся</w:t>
      </w:r>
      <w:r w:rsidRPr="00B3701C">
        <w:rPr>
          <w:rFonts w:ascii="Arial" w:hAnsi="Arial" w:cs="Arial"/>
          <w:bCs/>
          <w:sz w:val="22"/>
          <w:szCs w:val="22"/>
        </w:rPr>
        <w:t xml:space="preserve"> описание количественных и качественные характеристик оцениваемого Объекта, имущественные права и наличие обременений, связанных с Объектом оценки согласно настоящим требования и договору на оценку.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3701C">
        <w:rPr>
          <w:rFonts w:ascii="Arial" w:hAnsi="Arial" w:cs="Arial"/>
          <w:bCs/>
          <w:sz w:val="22"/>
          <w:szCs w:val="22"/>
          <w:lang w:val="en-US"/>
        </w:rPr>
        <w:t>“</w:t>
      </w:r>
      <w:r w:rsidRPr="00B3701C">
        <w:rPr>
          <w:rFonts w:ascii="Arial" w:hAnsi="Arial" w:cs="Arial"/>
          <w:bCs/>
          <w:sz w:val="22"/>
          <w:szCs w:val="22"/>
        </w:rPr>
        <w:t>Фотографии Объекта Оценки</w:t>
      </w:r>
      <w:r w:rsidRPr="00B3701C">
        <w:rPr>
          <w:rFonts w:ascii="Arial" w:hAnsi="Arial" w:cs="Arial"/>
          <w:bCs/>
          <w:sz w:val="22"/>
          <w:szCs w:val="22"/>
          <w:lang w:val="en-US"/>
        </w:rPr>
        <w:t>”:</w:t>
      </w:r>
    </w:p>
    <w:p w:rsidR="00191DBA" w:rsidRPr="00B3701C" w:rsidRDefault="00191DBA" w:rsidP="002C06E8">
      <w:pPr>
        <w:pStyle w:val="ListParagraph"/>
        <w:numPr>
          <w:ilvl w:val="2"/>
          <w:numId w:val="1"/>
        </w:numPr>
        <w:tabs>
          <w:tab w:val="left" w:pos="450"/>
        </w:tabs>
        <w:ind w:left="0" w:firstLine="0"/>
        <w:contextualSpacing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Необходимо отразить в данной главе фотографии всех помещений данного Объекта оценки, в том числе отдельных частей/фрагментов интерьера, помещений, комнат и </w:t>
      </w:r>
      <w:r w:rsidR="00EB428D" w:rsidRPr="00B3701C">
        <w:rPr>
          <w:rFonts w:ascii="Arial" w:hAnsi="Arial" w:cs="Arial"/>
          <w:sz w:val="22"/>
          <w:szCs w:val="22"/>
        </w:rPr>
        <w:t>др.</w:t>
      </w:r>
      <w:r w:rsidRPr="00B3701C">
        <w:rPr>
          <w:rFonts w:ascii="Arial" w:hAnsi="Arial" w:cs="Arial"/>
          <w:sz w:val="22"/>
          <w:szCs w:val="22"/>
        </w:rPr>
        <w:t>, а также всех основных видов повреждений и дефектов имущества. В случае наличие несанкционированной перепланировки, оценочный акт должен содержать фотографии переоборудованного помещения.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“Оценка имущества”</w:t>
      </w:r>
      <w:r w:rsidRPr="00B3701C">
        <w:rPr>
          <w:rFonts w:ascii="Arial" w:hAnsi="Arial" w:cs="Arial"/>
          <w:sz w:val="22"/>
          <w:szCs w:val="22"/>
          <w:lang w:val="en-US"/>
        </w:rPr>
        <w:t>:</w:t>
      </w:r>
    </w:p>
    <w:p w:rsidR="00191DBA" w:rsidRPr="00B3701C" w:rsidRDefault="00191DBA" w:rsidP="002C06E8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 данной части привидится описание основных подходов и методов оценки. Стандартами предусматривается три подхода к оценке рыночной стоимости Объектов оценки:</w:t>
      </w:r>
    </w:p>
    <w:p w:rsidR="00191DBA" w:rsidRPr="00B3701C" w:rsidRDefault="00191DBA" w:rsidP="002C06E8">
      <w:pPr>
        <w:numPr>
          <w:ilvl w:val="0"/>
          <w:numId w:val="6"/>
        </w:numPr>
        <w:tabs>
          <w:tab w:val="clear" w:pos="72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lastRenderedPageBreak/>
        <w:t>Затратный подход,</w:t>
      </w:r>
    </w:p>
    <w:p w:rsidR="00191DBA" w:rsidRPr="00B3701C" w:rsidRDefault="00191DBA" w:rsidP="002C06E8">
      <w:pPr>
        <w:numPr>
          <w:ilvl w:val="0"/>
          <w:numId w:val="6"/>
        </w:numPr>
        <w:tabs>
          <w:tab w:val="clear" w:pos="72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Сравнительный подход,</w:t>
      </w:r>
    </w:p>
    <w:p w:rsidR="00191DBA" w:rsidRPr="00B3701C" w:rsidRDefault="00191DBA" w:rsidP="002C06E8">
      <w:pPr>
        <w:numPr>
          <w:ilvl w:val="0"/>
          <w:numId w:val="6"/>
        </w:numPr>
        <w:tabs>
          <w:tab w:val="clear" w:pos="72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Доходный подход.</w:t>
      </w:r>
    </w:p>
    <w:p w:rsidR="00191DBA" w:rsidRPr="00B3701C" w:rsidRDefault="00191DBA" w:rsidP="002C06E8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Заключение о применимости перечисленных подходов делается после того, как </w:t>
      </w:r>
      <w:r w:rsidR="00EB428D" w:rsidRPr="00B3701C">
        <w:rPr>
          <w:rFonts w:ascii="Arial" w:hAnsi="Arial" w:cs="Arial"/>
          <w:sz w:val="22"/>
          <w:szCs w:val="22"/>
        </w:rPr>
        <w:t>определён</w:t>
      </w:r>
      <w:r w:rsidRPr="00B3701C">
        <w:rPr>
          <w:rFonts w:ascii="Arial" w:hAnsi="Arial" w:cs="Arial"/>
          <w:sz w:val="22"/>
          <w:szCs w:val="22"/>
        </w:rPr>
        <w:t xml:space="preserve"> способ наилучшего использования Объекта.</w:t>
      </w:r>
    </w:p>
    <w:p w:rsidR="00191DBA" w:rsidRPr="00B3701C" w:rsidRDefault="00191DBA" w:rsidP="002C06E8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Возможность и целесообразность применения тех или иных подходов к оценке зависит от характера оцениваемого Объекта и доступности, качества необходимой информации.</w:t>
      </w:r>
    </w:p>
    <w:p w:rsidR="00191DBA" w:rsidRPr="00B3701C" w:rsidRDefault="00191DBA" w:rsidP="002C06E8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Исключение какого-либо подхода к оценке должно быть полностью обосновано со стороны оценщика.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“Согласование результатов и заключение об итоговой стоимости”:</w:t>
      </w:r>
    </w:p>
    <w:p w:rsidR="00191DBA" w:rsidRPr="00B3701C" w:rsidRDefault="00191DBA" w:rsidP="002C06E8">
      <w:pPr>
        <w:pStyle w:val="ListParagraph"/>
        <w:numPr>
          <w:ilvl w:val="0"/>
          <w:numId w:val="7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данном разделе должно быть приведено согласование результатов </w:t>
      </w:r>
      <w:r w:rsidR="00EB428D" w:rsidRPr="00B3701C">
        <w:rPr>
          <w:rFonts w:ascii="Arial" w:hAnsi="Arial" w:cs="Arial"/>
          <w:sz w:val="22"/>
          <w:szCs w:val="22"/>
        </w:rPr>
        <w:t>расчётов</w:t>
      </w:r>
      <w:r w:rsidRPr="00B3701C">
        <w:rPr>
          <w:rFonts w:ascii="Arial" w:hAnsi="Arial" w:cs="Arial"/>
          <w:sz w:val="22"/>
          <w:szCs w:val="22"/>
        </w:rPr>
        <w:t>, полученных с применением различных подходов, исходя из качества и достоверности полученной информации и насколько каждый подход отражает ситуацию на рынке недвижимости,</w:t>
      </w:r>
    </w:p>
    <w:p w:rsidR="00191DBA" w:rsidRPr="00B3701C" w:rsidRDefault="00191DBA" w:rsidP="002C06E8">
      <w:pPr>
        <w:pStyle w:val="ListParagraph"/>
        <w:numPr>
          <w:ilvl w:val="0"/>
          <w:numId w:val="7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Оценщик приводит итоговую </w:t>
      </w:r>
      <w:r w:rsidR="00EB428D" w:rsidRPr="00B3701C">
        <w:rPr>
          <w:rFonts w:ascii="Arial" w:hAnsi="Arial" w:cs="Arial"/>
          <w:sz w:val="22"/>
          <w:szCs w:val="22"/>
        </w:rPr>
        <w:t>округлённую</w:t>
      </w:r>
      <w:r w:rsidRPr="00B3701C">
        <w:rPr>
          <w:rFonts w:ascii="Arial" w:hAnsi="Arial" w:cs="Arial"/>
          <w:sz w:val="22"/>
          <w:szCs w:val="22"/>
        </w:rPr>
        <w:t xml:space="preserve"> величину рыночной стоимости,</w:t>
      </w:r>
    </w:p>
    <w:p w:rsidR="00191DBA" w:rsidRPr="00B3701C" w:rsidRDefault="00EB428D" w:rsidP="002C06E8">
      <w:pPr>
        <w:pStyle w:val="ListParagraph"/>
        <w:numPr>
          <w:ilvl w:val="0"/>
          <w:numId w:val="7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Расчёт</w:t>
      </w:r>
      <w:r w:rsidR="00191DBA" w:rsidRPr="00B3701C">
        <w:rPr>
          <w:rFonts w:ascii="Arial" w:hAnsi="Arial" w:cs="Arial"/>
          <w:sz w:val="22"/>
          <w:szCs w:val="22"/>
        </w:rPr>
        <w:t xml:space="preserve"> ликвидационной стоимости (стоимость недвижимости, когда она должна быть реализована за более короткий срок, чем срок, предусмотренный для реализации однотипной недвижимости на рынке) объекта оценки (с </w:t>
      </w:r>
      <w:r w:rsidRPr="00B3701C">
        <w:rPr>
          <w:rFonts w:ascii="Arial" w:hAnsi="Arial" w:cs="Arial"/>
          <w:sz w:val="22"/>
          <w:szCs w:val="22"/>
        </w:rPr>
        <w:t>учётом</w:t>
      </w:r>
      <w:r w:rsidR="00191DBA" w:rsidRPr="00B3701C">
        <w:rPr>
          <w:rFonts w:ascii="Arial" w:hAnsi="Arial" w:cs="Arial"/>
          <w:sz w:val="22"/>
          <w:szCs w:val="22"/>
        </w:rPr>
        <w:t xml:space="preserve"> срока вынужденной продажи, не превышающего 270 дней),</w:t>
      </w:r>
    </w:p>
    <w:p w:rsidR="00191DBA" w:rsidRPr="00B3701C" w:rsidRDefault="00191DBA" w:rsidP="002C06E8">
      <w:pPr>
        <w:pStyle w:val="ListParagraph"/>
        <w:numPr>
          <w:ilvl w:val="0"/>
          <w:numId w:val="7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случае если оценка проводится повторно тем же оценщиком и есть изменения в полученной рыночной или ликвидационной стоимости в оценочном акте должны быть описаны причины изменений. </w:t>
      </w:r>
    </w:p>
    <w:p w:rsidR="00191DBA" w:rsidRPr="00B3701C" w:rsidRDefault="00191DBA" w:rsidP="002C06E8">
      <w:pPr>
        <w:numPr>
          <w:ilvl w:val="1"/>
          <w:numId w:val="4"/>
        </w:numPr>
        <w:tabs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“Перечень используемых материалов”</w:t>
      </w:r>
      <w:r w:rsidRPr="00B3701C">
        <w:rPr>
          <w:rFonts w:ascii="Arial" w:hAnsi="Arial" w:cs="Arial"/>
          <w:sz w:val="22"/>
          <w:szCs w:val="22"/>
          <w:lang w:val="en-US"/>
        </w:rPr>
        <w:t>:</w:t>
      </w:r>
      <w:r w:rsidRPr="00B3701C">
        <w:rPr>
          <w:rFonts w:ascii="Arial" w:hAnsi="Arial" w:cs="Arial"/>
          <w:sz w:val="22"/>
          <w:szCs w:val="22"/>
        </w:rPr>
        <w:t xml:space="preserve"> </w:t>
      </w:r>
    </w:p>
    <w:p w:rsidR="00191DBA" w:rsidRPr="00B3701C" w:rsidRDefault="00191DBA" w:rsidP="002C06E8">
      <w:pPr>
        <w:pStyle w:val="ListParagraph"/>
        <w:numPr>
          <w:ilvl w:val="0"/>
          <w:numId w:val="8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 качестве приложения к оценочному акту должны быть </w:t>
      </w:r>
      <w:r w:rsidR="00EB428D" w:rsidRPr="00B3701C">
        <w:rPr>
          <w:rFonts w:ascii="Arial" w:hAnsi="Arial" w:cs="Arial"/>
          <w:sz w:val="22"/>
          <w:szCs w:val="22"/>
        </w:rPr>
        <w:t>прикреплён</w:t>
      </w:r>
      <w:r w:rsidRPr="00B3701C">
        <w:rPr>
          <w:rFonts w:ascii="Arial" w:hAnsi="Arial" w:cs="Arial"/>
          <w:sz w:val="22"/>
          <w:szCs w:val="22"/>
        </w:rPr>
        <w:t xml:space="preserve"> копии следующих документов: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Копии документов оценщиков, дающих им право на осуществление оценочной деятельности,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Копии правоустанавливающих документов</w:t>
      </w:r>
      <w:r w:rsidRPr="00B3701C">
        <w:rPr>
          <w:rFonts w:ascii="Arial" w:hAnsi="Arial" w:cs="Arial"/>
          <w:sz w:val="22"/>
          <w:szCs w:val="22"/>
          <w:lang w:val="en-US"/>
        </w:rPr>
        <w:t>,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Скриншоты объектов аналогов, использованных при оценке,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Копии документов и справок от Заказчика на основании которых осуществлялась оценка,</w:t>
      </w:r>
    </w:p>
    <w:p w:rsidR="00191DBA" w:rsidRPr="00B3701C" w:rsidRDefault="00191DBA" w:rsidP="002C06E8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Копия задания на оценку</w:t>
      </w:r>
      <w:r w:rsidRPr="00B3701C">
        <w:rPr>
          <w:rFonts w:ascii="Arial" w:hAnsi="Arial" w:cs="Arial"/>
          <w:sz w:val="22"/>
          <w:szCs w:val="22"/>
          <w:lang w:val="en-US"/>
        </w:rPr>
        <w:t>.</w:t>
      </w: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2C06E8" w:rsidRDefault="008E0462" w:rsidP="002C06E8">
      <w:pPr>
        <w:tabs>
          <w:tab w:val="left" w:pos="45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06E8">
        <w:rPr>
          <w:rFonts w:ascii="Arial" w:hAnsi="Arial" w:cs="Arial"/>
          <w:b/>
          <w:sz w:val="22"/>
          <w:szCs w:val="22"/>
        </w:rPr>
        <w:t>ТРЕБОВАНИЯ К СОДЕРЖАНИЮ ПРЕДВАРИТЕЛЬНОГО ОЦЕНОЧНОГО АКТА (ИНФОРАМЦИОНОГО ПИСЬМА)</w:t>
      </w:r>
    </w:p>
    <w:p w:rsidR="008E0462" w:rsidRPr="00B3701C" w:rsidRDefault="008E0462" w:rsidP="002C06E8">
      <w:pPr>
        <w:tabs>
          <w:tab w:val="left" w:pos="45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pStyle w:val="ListParagraph"/>
        <w:numPr>
          <w:ilvl w:val="0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Предварительный оценочный акт, составленный оценщиком должен содержать следующую информацию: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Дату осмотра,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Местонахождение Объекта оценки,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Детальное описание Объекта оценки, а именно:</w:t>
      </w:r>
    </w:p>
    <w:p w:rsidR="008E0462" w:rsidRPr="00B3701C" w:rsidRDefault="008E0462" w:rsidP="002C06E8">
      <w:pPr>
        <w:pStyle w:val="ListParagraph"/>
        <w:numPr>
          <w:ilvl w:val="2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 При оценке недвижимости: описание физических характеристик (площадь, конструктивные материалы, ориентировочную дату строительства, ориентировочную дату ремонта и т.д.),</w:t>
      </w:r>
    </w:p>
    <w:p w:rsidR="008E0462" w:rsidRPr="00B3701C" w:rsidRDefault="008E0462" w:rsidP="002C06E8">
      <w:pPr>
        <w:pStyle w:val="ListParagraph"/>
        <w:numPr>
          <w:ilvl w:val="2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При оценке движимого имущества: марку, модель, серийный номер (при оценке транспорта вин код), страну производителя, дату производства, дату ввода в эксплуатацию, информацию о работоспособности движимого имущества, информация об имеющихся дефектах.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Наименование собственника Объекта оценки,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Информацию об имеющихся ограничениях владение или пользования,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Фотографии Объекта оценки,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 xml:space="preserve">Вид </w:t>
      </w:r>
      <w:r w:rsidR="00EB428D" w:rsidRPr="00B3701C">
        <w:rPr>
          <w:rFonts w:ascii="Arial" w:hAnsi="Arial" w:cs="Arial"/>
          <w:sz w:val="22"/>
          <w:szCs w:val="22"/>
        </w:rPr>
        <w:t>определённой</w:t>
      </w:r>
      <w:r w:rsidRPr="00B3701C">
        <w:rPr>
          <w:rFonts w:ascii="Arial" w:hAnsi="Arial" w:cs="Arial"/>
          <w:sz w:val="22"/>
          <w:szCs w:val="22"/>
        </w:rPr>
        <w:t xml:space="preserve"> стоимости,</w:t>
      </w:r>
    </w:p>
    <w:p w:rsidR="008E0462" w:rsidRPr="00B3701C" w:rsidRDefault="008E0462" w:rsidP="002C06E8">
      <w:pPr>
        <w:pStyle w:val="ListParagraph"/>
        <w:numPr>
          <w:ilvl w:val="1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Иная дополнительная информация.</w:t>
      </w:r>
    </w:p>
    <w:p w:rsidR="008E0462" w:rsidRPr="00B3701C" w:rsidRDefault="008E0462" w:rsidP="002C06E8">
      <w:pPr>
        <w:pStyle w:val="ListParagraph"/>
        <w:numPr>
          <w:ilvl w:val="0"/>
          <w:numId w:val="11"/>
        </w:numPr>
        <w:tabs>
          <w:tab w:val="left" w:pos="450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Предварительный оценочный акт, должен быть пронумерован и подписан руководителем оценщика.</w:t>
      </w: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E0462" w:rsidRPr="00B3701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8E0462" w:rsidRPr="00B3701C" w:rsidRDefault="008E0462" w:rsidP="002C06E8">
      <w:pPr>
        <w:tabs>
          <w:tab w:val="left" w:pos="45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3701C">
        <w:rPr>
          <w:rFonts w:ascii="Arial" w:hAnsi="Arial" w:cs="Arial"/>
          <w:sz w:val="22"/>
          <w:szCs w:val="22"/>
        </w:rPr>
        <w:t>ТРЕБОВАНИЯ К КАЧЕСТВУ ОЦЕНОЧНОГО АКТА</w:t>
      </w:r>
    </w:p>
    <w:p w:rsidR="008E0462" w:rsidRPr="00B3701C" w:rsidRDefault="008E0462" w:rsidP="002C06E8">
      <w:pPr>
        <w:pStyle w:val="BodyText3"/>
        <w:tabs>
          <w:tab w:val="left" w:pos="450"/>
        </w:tabs>
        <w:rPr>
          <w:rFonts w:ascii="Arial" w:hAnsi="Arial" w:cs="Arial"/>
          <w:b w:val="0"/>
          <w:bCs w:val="0"/>
          <w:color w:val="auto"/>
          <w:szCs w:val="22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589"/>
        <w:gridCol w:w="6763"/>
      </w:tblGrid>
      <w:tr w:rsidR="008E0462" w:rsidRPr="00B3701C" w:rsidTr="002C06E8">
        <w:trPr>
          <w:cantSplit/>
          <w:trHeight w:val="521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п/н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E8">
              <w:rPr>
                <w:rFonts w:ascii="Arial" w:hAnsi="Arial" w:cs="Arial"/>
                <w:b/>
                <w:sz w:val="20"/>
                <w:szCs w:val="20"/>
              </w:rPr>
              <w:t>Описание критерия</w:t>
            </w:r>
          </w:p>
        </w:tc>
        <w:tc>
          <w:tcPr>
            <w:tcW w:w="6763" w:type="dxa"/>
            <w:shd w:val="clear" w:color="auto" w:fill="D9D9D9" w:themeFill="background1" w:themeFillShade="D9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Необходимые условия к выполнению</w:t>
            </w:r>
          </w:p>
        </w:tc>
      </w:tr>
      <w:tr w:rsidR="008E0462" w:rsidRPr="00B3701C" w:rsidTr="0075481F">
        <w:trPr>
          <w:cantSplit/>
          <w:trHeight w:val="1025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Ссылки на источники информации в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отчёте</w:t>
            </w:r>
            <w:r w:rsidRPr="002C06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3" w:type="dxa"/>
            <w:vAlign w:val="center"/>
          </w:tcPr>
          <w:p w:rsidR="008E0462" w:rsidRPr="002C06E8" w:rsidRDefault="00EB428D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Отчёт</w:t>
            </w:r>
            <w:r w:rsidR="008E0462"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должен базироваться на общедоступных для проверки источниках существенной (оказывающей влияние на 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расчёты</w:t>
            </w:r>
            <w:r w:rsidR="008E0462"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/допущения оценщика) информации, ссылки на которые приведены полностью. Данная информация является актуальной, т.е. соответствующей фактической ситуации на дату оценки. </w:t>
            </w:r>
          </w:p>
        </w:tc>
      </w:tr>
      <w:tr w:rsidR="008E0462" w:rsidRPr="00B3701C" w:rsidTr="0075481F">
        <w:trPr>
          <w:cantSplit/>
          <w:trHeight w:val="1781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Наличие в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отчёте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или приложениях к нему документального подтверждения информации, использованной при проведении</w:t>
            </w:r>
            <w:r w:rsidRPr="002C06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6E8">
              <w:rPr>
                <w:rFonts w:ascii="Arial" w:hAnsi="Arial" w:cs="Arial"/>
                <w:sz w:val="20"/>
                <w:szCs w:val="20"/>
              </w:rPr>
              <w:t>оценки.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В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отчёте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или приложениях к нему должны быть приведены полный объем информации для выявления существенных качественных и количественных характеристик объекта оценки, а также информации ценового характера. Источником ценовой информации являются рыночные данные, полученные от третьих лиц, либо рыночными данными подтверждена ценовая информация, полученная от заказчика оценки/собственника объекта оценки. Ценовая информация актуальна на дату оценки.</w:t>
            </w:r>
          </w:p>
        </w:tc>
      </w:tr>
      <w:tr w:rsidR="008E0462" w:rsidRPr="00B3701C" w:rsidTr="0075481F">
        <w:trPr>
          <w:cantSplit/>
          <w:trHeight w:val="719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Анализ имеющихся у залогодателя прав на объект оценки.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Права залогодателя на объект оценки должны быть проанализированы оценщиком на основании всего необходимого комплекта правоустанавливающих документов, актуальных на дату оценки.</w:t>
            </w:r>
          </w:p>
        </w:tc>
      </w:tr>
      <w:tr w:rsidR="008E0462" w:rsidRPr="00B3701C" w:rsidTr="0075481F">
        <w:trPr>
          <w:cantSplit/>
          <w:trHeight w:val="107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Анализ обременений объекта оценки (</w:t>
            </w:r>
            <w:proofErr w:type="spellStart"/>
            <w:r w:rsidRPr="002C06E8">
              <w:rPr>
                <w:rFonts w:ascii="Arial" w:hAnsi="Arial" w:cs="Arial"/>
                <w:sz w:val="20"/>
                <w:szCs w:val="20"/>
              </w:rPr>
              <w:t>забалансовых</w:t>
            </w:r>
            <w:proofErr w:type="spellEnd"/>
            <w:r w:rsidRPr="002C06E8">
              <w:rPr>
                <w:rFonts w:ascii="Arial" w:hAnsi="Arial" w:cs="Arial"/>
                <w:sz w:val="20"/>
                <w:szCs w:val="20"/>
              </w:rPr>
              <w:t xml:space="preserve"> обязательств при оценке акций/долей компании).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Должны быть выявлены все имеющиеся обременения/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забалансовые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обязательства либо сделан обоснованный вывод об их отсутствии. Выполнен анализ влияния выявленных обременений/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забалансовых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обязательств на стоимость объекта оценки.</w:t>
            </w:r>
          </w:p>
        </w:tc>
      </w:tr>
      <w:tr w:rsidR="008E0462" w:rsidRPr="00B3701C" w:rsidTr="0075481F">
        <w:trPr>
          <w:cantSplit/>
          <w:trHeight w:val="2321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Точное описание объекта оценки, его назначения,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разрешённого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и фактического использования. Анализ финансового состояния и ретроспективной доходности (при оценке компании/ имущественного комплекса</w:t>
            </w:r>
            <w:r w:rsidRPr="002C06E8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исчерпывающим образом описан объект оценки, полностью раскрыты его состав, назначение,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разрешённое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и фактическое использование, позиционирование/местоположение и техническое состояние на дату оценки, приведены актуальные фотоматериалы.</w:t>
            </w:r>
            <w:r w:rsidRPr="002C06E8">
              <w:rPr>
                <w:rFonts w:ascii="Arial" w:hAnsi="Arial" w:cs="Arial"/>
                <w:sz w:val="20"/>
                <w:szCs w:val="20"/>
              </w:rPr>
              <w:br/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Проведён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анализ возможности независимого функционирования и реализации оцениваемого имущества отдельно от иных активов, не входящих в состав объекта оценки</w:t>
            </w:r>
            <w:r w:rsidRPr="002C06E8">
              <w:rPr>
                <w:rFonts w:ascii="Arial" w:hAnsi="Arial" w:cs="Arial"/>
                <w:sz w:val="20"/>
                <w:szCs w:val="20"/>
              </w:rPr>
              <w:t>, однако задействованных при его текущем использовании.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В случае оценки акций/долей/имущественного комплекса или его части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проведён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анализ финансового состояния компаний / ретроспективной доходности данных активов.</w:t>
            </w:r>
          </w:p>
        </w:tc>
      </w:tr>
      <w:tr w:rsidR="008E0462" w:rsidRPr="00B3701C" w:rsidTr="0075481F">
        <w:trPr>
          <w:cantSplit/>
          <w:trHeight w:val="1502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Характеристика рынка, к которому относится объект оценки, спроса и предложения на объекты, аналогичные оцениваемому, сложившихся на рынке ценовых параметров продажи/аренды аналогичных объектов 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(основного сырья и продукции, если объектом оценки выступает компания/имущественный комплекс)</w:t>
            </w:r>
            <w:r w:rsidRPr="002C06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Должно быть приведено описание именно того сегмента рынка, к которому относится объект оценки. В рамках описания раскрыта информация о спросе и предложении на объекты, аналогичные оцениваемому, а также актуальная ценовая информация о продаже/аренде таких объектов (продукции и основного сырья, если объектом оценки выступает компания / имущественный комплекс).</w:t>
            </w:r>
          </w:p>
        </w:tc>
      </w:tr>
      <w:tr w:rsidR="008E0462" w:rsidRPr="00B3701C" w:rsidTr="0075481F">
        <w:trPr>
          <w:cantSplit/>
          <w:trHeight w:val="971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Прогнозы развития рынка.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приведён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детальный прогноз развития именно того сегмента рынка, к которому относится объект оценки, и раскрыта прогнозная ценовая информация о продаже/аренде аналогичных объектов (продукции и сырья, если объектом оценки выступает компания / имущественный комплекс).</w:t>
            </w:r>
          </w:p>
        </w:tc>
      </w:tr>
      <w:tr w:rsidR="008E0462" w:rsidRPr="00B3701C" w:rsidTr="0075481F">
        <w:trPr>
          <w:cantSplit/>
          <w:trHeight w:val="314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Обоснование доходов, генерируемых объектом оценки.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Должны быть: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(1)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Чётко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определены источники доходов, генерируемых объектом оценки, их прогнозируемые величины и период получения обоснованы.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(2) Оценщиком детализированы, где это необходимо, поступления в разрезе удельных и натуральных показателей.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(3) Проведено сопоставление прогнозируемых доходов (уровень загрузки,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объёмы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продаж, цены на продукцию и основное сырье, уровень доходов и т.д.) с ретроспективными показателями и прогнозом развития соответствующих рынков. В случае их существенного расхождения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проведён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соответствующий анализ и представлено обоснование выбора тех или иных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расчётных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параметров, при необходимости в полученную от заказчика оценки / собственника объекта оценки прогнозную информацию внесены обоснованные корректировки.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(4) Использованные оценщиком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расчётные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параметры, прогнозы существенно не противоречат данным, имеющимся в распоряжении аналитика. </w:t>
            </w:r>
          </w:p>
        </w:tc>
      </w:tr>
      <w:tr w:rsidR="008E0462" w:rsidRPr="00B3701C" w:rsidTr="0075481F">
        <w:trPr>
          <w:cantSplit/>
          <w:trHeight w:val="251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Обоснование состава и величин затрат, 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связанных с функционированием объекта оценки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(в </w:t>
            </w:r>
            <w:proofErr w:type="spellStart"/>
            <w:r w:rsidRPr="002C06E8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C06E8">
              <w:rPr>
                <w:rFonts w:ascii="Arial" w:hAnsi="Arial" w:cs="Arial"/>
                <w:sz w:val="20"/>
                <w:szCs w:val="20"/>
              </w:rPr>
              <w:t>. инвестиционных).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Должны быть: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(1)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Чётко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определены статьи затрат и периоды их осуществления.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(2) Оценщиком детализированы, где это необходимо, затраты в разрезе удельных и натуральных показателей.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(3) Проведено сопоставление прогнозируемых затрат (в 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т.ч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., если применимо, удельных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объёмов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потребления сырья, общего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объёма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затрат) с их ретроспективным уровнем и рыночными данными. В случае их существенного расхождения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проведён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соответствующий анализ и представлено обоснование выбора тех или иных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расчётных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параметров, при необходимости в полученную от заказчика оценки / собственника объекта оценки прогнозную информацию внесены обоснованные корректировки.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(4) Обоснован размер инвестиций в основные средства, нематериальные активы, оборотный капитал.</w:t>
            </w:r>
          </w:p>
        </w:tc>
      </w:tr>
      <w:tr w:rsidR="008E0462" w:rsidRPr="00B3701C" w:rsidTr="0075481F">
        <w:trPr>
          <w:cantSplit/>
          <w:trHeight w:val="1097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Обоснование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расчёта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ставки дисконтирования или коэффициента капитализации.</w:t>
            </w: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Должно быть подробно и аргументировано спрогнозирована величина ставки дисконтирования (коэффициента капитализации), размер премий за риск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подтверждён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анализом рыночных данных, актуальных на дату оценки. Итоговая величина ставка дисконтирования (коэффициента капитализации) учитывает все риски, присущие оцениваемым активам.</w:t>
            </w:r>
          </w:p>
        </w:tc>
      </w:tr>
      <w:tr w:rsidR="008E0462" w:rsidRPr="00B3701C" w:rsidTr="0075481F">
        <w:trPr>
          <w:cantSplit/>
          <w:trHeight w:val="1232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Итоговый вывод о стоимости в рамках доходного подхода.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Полученная в рамках доходного подхода величина стоимости должна быть рассчитана верно (в 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т.ч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. при оценке акций/долей/имущественного комплекса правильно внесены итоговые корректировки) либо, по мнению аналитика, соответствует рыночному диапазону цен на активы, аналогичные оцениваемым, на дату оценки.</w:t>
            </w:r>
          </w:p>
        </w:tc>
      </w:tr>
      <w:tr w:rsidR="008E0462" w:rsidRPr="00B3701C" w:rsidTr="0075481F">
        <w:trPr>
          <w:cantSplit/>
          <w:trHeight w:val="134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Подбор аналогов объекта оценки.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Должно быть количество объектов-аналогов составляет не менее 3 единиц, при этом: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а) базовые характеристики аналогов являются сопоставимыми с характеристиками оцениваемого объекта;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б) предложения по продаже аналогов являются актуальными на дату оценки;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в) описание аналогов представлено в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объёме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, достаточном для объективного определения необходимости внесения корректировок и их размера.</w:t>
            </w:r>
          </w:p>
        </w:tc>
      </w:tr>
      <w:tr w:rsidR="008E0462" w:rsidRPr="00B3701C" w:rsidTr="0075481F">
        <w:trPr>
          <w:cantSplit/>
          <w:trHeight w:val="1214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Обоснование корректировок стоимостных показателей аналогов.</w:t>
            </w: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определён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полный перечень необходимых корректировок, их размер рассчитан с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учётом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рыночной информации. Корректировки, принятые на основании справочных данных, актуальны на дату оценки, а их величины имеют в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отчёте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расчётное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подтверждение с использованием рыночных данных.</w:t>
            </w:r>
          </w:p>
        </w:tc>
      </w:tr>
      <w:tr w:rsidR="008E0462" w:rsidRPr="00B3701C" w:rsidTr="0075481F">
        <w:trPr>
          <w:cantSplit/>
          <w:trHeight w:val="116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Итоговый вывод о стоимости в рамках сравнительного подхода.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Полученная в рамках сравнительного подхода величина стоимости должна быть рассчитана верно (в 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т.ч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. при оценке акций/долей/имущественного комплекса правильно определены итоговые корректировки) и/или, по мнению аналитика, соответствует рыночному диапазону цен на объекты, аналогичные оцениваемому, на дату оценки.</w:t>
            </w:r>
          </w:p>
        </w:tc>
      </w:tr>
      <w:tr w:rsidR="008E0462" w:rsidRPr="00B3701C" w:rsidTr="0075481F">
        <w:trPr>
          <w:cantSplit/>
          <w:trHeight w:val="1241"/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8E0462" w:rsidRPr="002C06E8" w:rsidRDefault="00EB428D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Расчёт</w:t>
            </w:r>
            <w:r w:rsidR="008E0462" w:rsidRPr="002C06E8">
              <w:rPr>
                <w:rFonts w:ascii="Arial" w:hAnsi="Arial" w:cs="Arial"/>
                <w:sz w:val="20"/>
                <w:szCs w:val="20"/>
              </w:rPr>
              <w:t xml:space="preserve"> суммы затрат на воспроизводство или замещение активов (без </w:t>
            </w:r>
            <w:r w:rsidRPr="002C06E8">
              <w:rPr>
                <w:rFonts w:ascii="Arial" w:hAnsi="Arial" w:cs="Arial"/>
                <w:sz w:val="20"/>
                <w:szCs w:val="20"/>
              </w:rPr>
              <w:t>учёта</w:t>
            </w:r>
            <w:r w:rsidR="008E0462" w:rsidRPr="002C06E8">
              <w:rPr>
                <w:rFonts w:ascii="Arial" w:hAnsi="Arial" w:cs="Arial"/>
                <w:sz w:val="20"/>
                <w:szCs w:val="20"/>
              </w:rPr>
              <w:t xml:space="preserve"> накопленного износа). Корректировка активов баланса компании.</w:t>
            </w:r>
          </w:p>
        </w:tc>
        <w:tc>
          <w:tcPr>
            <w:tcW w:w="6763" w:type="dxa"/>
            <w:tcBorders>
              <w:bottom w:val="single" w:sz="4" w:space="0" w:color="auto"/>
            </w:tcBorders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Должен быть: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(1)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стоимости воспроизводства/замещения обоснован, в 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т.ч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. (если применимо) c использованием рыночных данных. 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(2) Подлежащие корректировке</w:t>
            </w:r>
            <w:r w:rsidRPr="002C06E8" w:rsidDel="006A71EC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статьи активов баланса выбраны обоснованно, а их корректировка выполнена верно на основании актуальной и достаточной информации, в 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т.ч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. (если применимо) c использованием рыночных данных.</w:t>
            </w:r>
          </w:p>
        </w:tc>
      </w:tr>
      <w:tr w:rsidR="008E0462" w:rsidRPr="00B3701C" w:rsidTr="0075481F">
        <w:trPr>
          <w:cantSplit/>
          <w:trHeight w:val="1196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 xml:space="preserve">Обоснование величины накопленного износа и </w:t>
            </w:r>
            <w:r w:rsidR="00EB428D" w:rsidRPr="002C06E8">
              <w:rPr>
                <w:rFonts w:ascii="Arial" w:hAnsi="Arial" w:cs="Arial"/>
                <w:sz w:val="20"/>
                <w:szCs w:val="20"/>
              </w:rPr>
              <w:t>внесённых</w:t>
            </w:r>
            <w:r w:rsidRPr="002C06E8">
              <w:rPr>
                <w:rFonts w:ascii="Arial" w:hAnsi="Arial" w:cs="Arial"/>
                <w:sz w:val="20"/>
                <w:szCs w:val="20"/>
              </w:rPr>
              <w:t xml:space="preserve"> корректировок.</w:t>
            </w:r>
          </w:p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Корректировка пассивов баланса компании.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Должны быть: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(1) Правильно определены все составляющие накопленного износа активов, а его итоговая величина рассчитана верно. </w:t>
            </w:r>
          </w:p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(2) Подлежащие корректировке статьи пассивов баланса выбраны обоснованно, а их корректировка выполнена верно на основании актуальной и достаточной информации, в 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т.ч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. (если применимо) c использованием рыночных данных.</w:t>
            </w:r>
          </w:p>
        </w:tc>
      </w:tr>
      <w:tr w:rsidR="008E0462" w:rsidRPr="00B3701C" w:rsidTr="0075481F">
        <w:trPr>
          <w:cantSplit/>
          <w:trHeight w:val="44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z w:val="20"/>
                <w:szCs w:val="20"/>
              </w:rPr>
              <w:t>Итоговый вывод о стоимости в рамках затратного подхода.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Полученная в рамках затратного подхода величина стоимости активов должна быть рассчитана верно и/или, по мнению аналитика, определена на приемлемом уровне.</w:t>
            </w:r>
          </w:p>
        </w:tc>
      </w:tr>
      <w:tr w:rsidR="008E0462" w:rsidRPr="00B3701C" w:rsidTr="0075481F">
        <w:trPr>
          <w:cantSplit/>
          <w:trHeight w:val="917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bCs/>
                <w:sz w:val="20"/>
                <w:szCs w:val="20"/>
              </w:rPr>
              <w:t xml:space="preserve">Обоснование весовых коэффициентов при определении итоговой величины рыночной стоимости. 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Должна быть корректно оценена значимость результатов, полученных с помощью использованных подходов к оценке, в 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т.ч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. с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учётом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цели оценки (залог). </w:t>
            </w:r>
            <w:r w:rsidRPr="002C06E8">
              <w:rPr>
                <w:rFonts w:ascii="Arial" w:hAnsi="Arial" w:cs="Arial"/>
                <w:bCs/>
                <w:sz w:val="20"/>
                <w:szCs w:val="20"/>
              </w:rPr>
              <w:t xml:space="preserve">При существенном расхождении данных результатов, представлены анализ причин такого расхождения и обоснование приоритетного результата. </w:t>
            </w:r>
          </w:p>
        </w:tc>
      </w:tr>
      <w:tr w:rsidR="008E0462" w:rsidRPr="00B3701C" w:rsidTr="0075481F">
        <w:trPr>
          <w:cantSplit/>
          <w:trHeight w:val="2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bCs/>
                <w:sz w:val="20"/>
                <w:szCs w:val="20"/>
              </w:rPr>
              <w:t>Итоговый вывод о рыночной стоимости объекта оценки.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сделан верный итоговый вывод о величине рыночной стоимости объекта оценки, в </w:t>
            </w:r>
            <w:proofErr w:type="spellStart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>т.ч</w:t>
            </w:r>
            <w:proofErr w:type="spellEnd"/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. в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расчётах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учтены обременения (в случае их наличия и негативного влияния на рыночную стоимость объекта оценки).</w:t>
            </w:r>
          </w:p>
        </w:tc>
      </w:tr>
      <w:tr w:rsidR="008E0462" w:rsidRPr="009D026C" w:rsidTr="0075481F">
        <w:trPr>
          <w:cantSplit/>
          <w:trHeight w:val="20"/>
          <w:jc w:val="center"/>
        </w:trPr>
        <w:tc>
          <w:tcPr>
            <w:tcW w:w="532" w:type="dxa"/>
            <w:vAlign w:val="center"/>
          </w:tcPr>
          <w:p w:rsidR="008E0462" w:rsidRPr="002C06E8" w:rsidRDefault="008E0462" w:rsidP="002C06E8">
            <w:pPr>
              <w:numPr>
                <w:ilvl w:val="0"/>
                <w:numId w:val="10"/>
              </w:numPr>
              <w:tabs>
                <w:tab w:val="left" w:pos="45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8E0462" w:rsidRPr="002C06E8" w:rsidRDefault="00EB428D" w:rsidP="002C06E8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06E8">
              <w:rPr>
                <w:rFonts w:ascii="Arial" w:hAnsi="Arial" w:cs="Arial"/>
                <w:bCs/>
                <w:sz w:val="20"/>
                <w:szCs w:val="20"/>
              </w:rPr>
              <w:t>Расчёт</w:t>
            </w:r>
            <w:r w:rsidR="008E0462" w:rsidRPr="002C06E8">
              <w:rPr>
                <w:rFonts w:ascii="Arial" w:hAnsi="Arial" w:cs="Arial"/>
                <w:bCs/>
                <w:sz w:val="20"/>
                <w:szCs w:val="20"/>
              </w:rPr>
              <w:t xml:space="preserve"> ликвидационной стоимости при вынужденной продаже с укороченным периодом маркетинга/реализации.</w:t>
            </w:r>
          </w:p>
        </w:tc>
        <w:tc>
          <w:tcPr>
            <w:tcW w:w="6763" w:type="dxa"/>
            <w:vAlign w:val="center"/>
          </w:tcPr>
          <w:p w:rsidR="008E0462" w:rsidRPr="002C06E8" w:rsidRDefault="008E0462" w:rsidP="002C06E8">
            <w:pPr>
              <w:tabs>
                <w:tab w:val="left" w:pos="45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Должен быть корректно рассчитан и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учтён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объем затрат и рисков, связанных со срочной и вынужденной продажей Объекта оценки с укороченным периодом маркетинга/реализации. Учтено влияние на стоимость причин, в силу которых не </w:t>
            </w:r>
            <w:r w:rsidR="00EB428D" w:rsidRPr="002C06E8">
              <w:rPr>
                <w:rFonts w:ascii="Arial" w:hAnsi="Arial" w:cs="Arial"/>
                <w:snapToGrid w:val="0"/>
                <w:sz w:val="20"/>
                <w:szCs w:val="20"/>
              </w:rPr>
              <w:t>удаётся</w:t>
            </w:r>
            <w:r w:rsidRPr="002C06E8">
              <w:rPr>
                <w:rFonts w:ascii="Arial" w:hAnsi="Arial" w:cs="Arial"/>
                <w:snapToGrid w:val="0"/>
                <w:sz w:val="20"/>
                <w:szCs w:val="20"/>
              </w:rPr>
              <w:t xml:space="preserve"> обеспечить надлежащий маркетинговый период.</w:t>
            </w:r>
          </w:p>
        </w:tc>
      </w:tr>
    </w:tbl>
    <w:p w:rsidR="008E0462" w:rsidRPr="009D026C" w:rsidRDefault="008E0462" w:rsidP="002C06E8">
      <w:pPr>
        <w:tabs>
          <w:tab w:val="left" w:pos="450"/>
        </w:tabs>
        <w:contextualSpacing/>
        <w:jc w:val="both"/>
        <w:rPr>
          <w:rFonts w:ascii="Arial" w:hAnsi="Arial" w:cs="Arial"/>
          <w:sz w:val="22"/>
          <w:szCs w:val="22"/>
        </w:rPr>
      </w:pPr>
    </w:p>
    <w:sectPr w:rsidR="008E0462" w:rsidRPr="009D026C" w:rsidSect="002C06E8">
      <w:pgSz w:w="11906" w:h="16838"/>
      <w:pgMar w:top="72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A7" w:rsidRDefault="008E5EA7" w:rsidP="008E0462">
      <w:r>
        <w:separator/>
      </w:r>
    </w:p>
  </w:endnote>
  <w:endnote w:type="continuationSeparator" w:id="0">
    <w:p w:rsidR="008E5EA7" w:rsidRDefault="008E5EA7" w:rsidP="008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A7" w:rsidRDefault="008E5EA7" w:rsidP="008E0462">
      <w:r>
        <w:separator/>
      </w:r>
    </w:p>
  </w:footnote>
  <w:footnote w:type="continuationSeparator" w:id="0">
    <w:p w:rsidR="008E5EA7" w:rsidRDefault="008E5EA7" w:rsidP="008E0462">
      <w:r>
        <w:continuationSeparator/>
      </w:r>
    </w:p>
  </w:footnote>
  <w:footnote w:id="1">
    <w:p w:rsidR="008E0462" w:rsidRPr="009162C8" w:rsidRDefault="008E0462" w:rsidP="008E0462">
      <w:pPr>
        <w:pStyle w:val="FootnoteText"/>
        <w:rPr>
          <w:rFonts w:ascii="Arial" w:hAnsi="Arial" w:cs="Arial"/>
          <w:sz w:val="16"/>
          <w:szCs w:val="16"/>
        </w:rPr>
      </w:pPr>
      <w:r w:rsidRPr="00CB34BE">
        <w:rPr>
          <w:rStyle w:val="FootnoteReference"/>
          <w:rFonts w:ascii="Arial" w:hAnsi="Arial" w:cs="Arial"/>
        </w:rPr>
        <w:footnoteRef/>
      </w:r>
      <w:r w:rsidRPr="00CB34BE">
        <w:rPr>
          <w:rFonts w:ascii="Arial" w:hAnsi="Arial" w:cs="Arial"/>
          <w:sz w:val="16"/>
          <w:szCs w:val="16"/>
        </w:rPr>
        <w:t xml:space="preserve"> Действующие производственные/складские имущественные комплексы компаний: объекты недвижимости (включая земельные участки, обеспечивающие функционирование расположенных на них объектов), сооружения, коммуникации, оборудование.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FFB"/>
    <w:multiLevelType w:val="hybridMultilevel"/>
    <w:tmpl w:val="5FC2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48DD"/>
    <w:multiLevelType w:val="hybridMultilevel"/>
    <w:tmpl w:val="1E505A3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S Outlook" w:hAnsi="MS Outlook" w:hint="default"/>
      </w:rPr>
    </w:lvl>
  </w:abstractNum>
  <w:abstractNum w:abstractNumId="2" w15:restartNumberingAfterBreak="0">
    <w:nsid w:val="37FB636C"/>
    <w:multiLevelType w:val="hybridMultilevel"/>
    <w:tmpl w:val="1832B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B134A88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55222"/>
    <w:multiLevelType w:val="hybridMultilevel"/>
    <w:tmpl w:val="77BA9E0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827F9D"/>
    <w:multiLevelType w:val="hybridMultilevel"/>
    <w:tmpl w:val="E41A6C66"/>
    <w:lvl w:ilvl="0" w:tplc="74FA369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 w:hint="default"/>
      </w:rPr>
    </w:lvl>
  </w:abstractNum>
  <w:abstractNum w:abstractNumId="5" w15:restartNumberingAfterBreak="0">
    <w:nsid w:val="4E7D48C2"/>
    <w:multiLevelType w:val="hybridMultilevel"/>
    <w:tmpl w:val="0B4CB3D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4655E"/>
    <w:multiLevelType w:val="hybridMultilevel"/>
    <w:tmpl w:val="1E66B3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 w:hint="default"/>
      </w:rPr>
    </w:lvl>
  </w:abstractNum>
  <w:abstractNum w:abstractNumId="7" w15:restartNumberingAfterBreak="0">
    <w:nsid w:val="67987816"/>
    <w:multiLevelType w:val="hybridMultilevel"/>
    <w:tmpl w:val="814805AE"/>
    <w:lvl w:ilvl="0" w:tplc="74FA369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5E2C42"/>
    <w:multiLevelType w:val="hybridMultilevel"/>
    <w:tmpl w:val="826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4FA3694">
      <w:start w:val="1"/>
      <w:numFmt w:val="russianLower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26B26"/>
    <w:multiLevelType w:val="multilevel"/>
    <w:tmpl w:val="19DEC60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5"/>
        </w:tabs>
        <w:ind w:left="855" w:hanging="495"/>
      </w:pPr>
      <w:rPr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GHEA Grapalat" w:eastAsia="Times New Roman" w:hAnsi="GHEA Grapalat"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C4A025F"/>
    <w:multiLevelType w:val="hybridMultilevel"/>
    <w:tmpl w:val="A6A8E8D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70"/>
    <w:rsid w:val="0003074A"/>
    <w:rsid w:val="00191DBA"/>
    <w:rsid w:val="001F3962"/>
    <w:rsid w:val="00214BE2"/>
    <w:rsid w:val="00216A6C"/>
    <w:rsid w:val="00223B76"/>
    <w:rsid w:val="002C06E8"/>
    <w:rsid w:val="00340327"/>
    <w:rsid w:val="00342908"/>
    <w:rsid w:val="004E0636"/>
    <w:rsid w:val="00532D9F"/>
    <w:rsid w:val="006A7A56"/>
    <w:rsid w:val="007E17C1"/>
    <w:rsid w:val="008E0462"/>
    <w:rsid w:val="008E5EA7"/>
    <w:rsid w:val="009D026C"/>
    <w:rsid w:val="00A25C70"/>
    <w:rsid w:val="00A36BB6"/>
    <w:rsid w:val="00B3701C"/>
    <w:rsid w:val="00B9213F"/>
    <w:rsid w:val="00BD6B34"/>
    <w:rsid w:val="00C128F5"/>
    <w:rsid w:val="00CE4193"/>
    <w:rsid w:val="00D5094F"/>
    <w:rsid w:val="00D54E17"/>
    <w:rsid w:val="00E1421D"/>
    <w:rsid w:val="00E82F49"/>
    <w:rsid w:val="00EB428D"/>
    <w:rsid w:val="00EB75E5"/>
    <w:rsid w:val="00F04530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A3752-627B-4564-9FBB-4DEC2BC3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Нумерованый список,List Paragraph1"/>
    <w:basedOn w:val="Normal"/>
    <w:link w:val="ListParagraphChar"/>
    <w:uiPriority w:val="34"/>
    <w:qFormat/>
    <w:rsid w:val="00191DBA"/>
    <w:pPr>
      <w:ind w:left="720"/>
    </w:pPr>
  </w:style>
  <w:style w:type="character" w:customStyle="1" w:styleId="ListParagraphChar">
    <w:name w:val="List Paragraph Char"/>
    <w:aliases w:val="Нумерованый список Char,List Paragraph1 Char"/>
    <w:link w:val="ListParagraph"/>
    <w:uiPriority w:val="34"/>
    <w:locked/>
    <w:rsid w:val="00191DBA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8E0462"/>
    <w:rPr>
      <w:vertAlign w:val="superscript"/>
    </w:rPr>
  </w:style>
  <w:style w:type="paragraph" w:styleId="BodyText3">
    <w:name w:val="Body Text 3"/>
    <w:basedOn w:val="Normal"/>
    <w:link w:val="BodyText3Char"/>
    <w:rsid w:val="008E0462"/>
    <w:pPr>
      <w:widowControl w:val="0"/>
      <w:suppressLineNumbers/>
      <w:suppressAutoHyphens/>
      <w:jc w:val="both"/>
    </w:pPr>
    <w:rPr>
      <w:b/>
      <w:bCs/>
      <w:snapToGrid w:val="0"/>
      <w:color w:val="0000FF"/>
      <w:sz w:val="22"/>
      <w:lang w:eastAsia="ru-RU"/>
    </w:rPr>
  </w:style>
  <w:style w:type="character" w:customStyle="1" w:styleId="BodyText3Char">
    <w:name w:val="Body Text 3 Char"/>
    <w:basedOn w:val="DefaultParagraphFont"/>
    <w:link w:val="BodyText3"/>
    <w:rsid w:val="008E0462"/>
    <w:rPr>
      <w:rFonts w:ascii="Times New Roman" w:eastAsia="Times New Roman" w:hAnsi="Times New Roman" w:cs="Times New Roman"/>
      <w:b/>
      <w:bCs/>
      <w:snapToGrid w:val="0"/>
      <w:color w:val="0000FF"/>
      <w:szCs w:val="24"/>
      <w:lang w:eastAsia="ru-RU"/>
    </w:rPr>
  </w:style>
  <w:style w:type="paragraph" w:styleId="FootnoteText">
    <w:name w:val="footnote text"/>
    <w:basedOn w:val="Normal"/>
    <w:link w:val="FootnoteTextChar"/>
    <w:rsid w:val="008E04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04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3681</Words>
  <Characters>20985</Characters>
  <Application>Microsoft Office Word</Application>
  <DocSecurity>0</DocSecurity>
  <Lines>174</Lines>
  <Paragraphs>49</Paragraphs>
  <ScaleCrop>false</ScaleCrop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Avetisyan</dc:creator>
  <cp:keywords/>
  <dc:description/>
  <cp:lastModifiedBy>Kristine Kazaryan</cp:lastModifiedBy>
  <cp:revision>22</cp:revision>
  <dcterms:created xsi:type="dcterms:W3CDTF">2018-12-07T12:39:00Z</dcterms:created>
  <dcterms:modified xsi:type="dcterms:W3CDTF">2022-02-01T07:15:00Z</dcterms:modified>
</cp:coreProperties>
</file>